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Sygnaliści a raportowanie ESG: Jak wewnętrzny kanał zgłoszeń buduje ład korporacyjny?</w:t>
      </w:r>
    </w:p>
    <w:p>
      <w:pPr>
        <w:spacing w:before="0" w:after="500" w:line="264" w:lineRule="auto"/>
      </w:pPr>
      <w:r>
        <w:rPr>
          <w:rFonts w:ascii="calibri" w:hAnsi="calibri" w:eastAsia="calibri" w:cs="calibri"/>
          <w:sz w:val="36"/>
          <w:szCs w:val="36"/>
          <w:b/>
        </w:rPr>
        <w:t xml:space="preserve">W 2026 roku wdrożenie wewnętrznych kanałów zgłoszeniowych przestało być traktowane wyłącznie w kategoriach przymusu administracyjnego narzuconego przez ustawę o ochronie sygnalistów. Dla dojrzałych organizacji system whistleblowingowy stał się centralnym narzędziem zarządzania ryzykiem i nieodłącznym elementem strategii ESG (Environmental, Social, Governance). W dobie rygorystycznych wymogów dyrektywy CSRD (Corporate Sustainability Reporting Directive), transparentność operacyjna przestała być hasłem wizerunkowym, a stała się twardym wskaźnikiem raportowania niefinansowego. Jak systemy dla sygnalistów kształtują ład korporacyjny i dlaczego są dziś fundamentem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litera „G” w ESG i jak łączy się z whistleblowingiem?</w:t>
      </w:r>
    </w:p>
    <w:p>
      <w:pPr>
        <w:spacing w:before="0" w:after="300"/>
      </w:pPr>
      <w:r>
        <w:rPr>
          <w:rFonts w:ascii="calibri" w:hAnsi="calibri" w:eastAsia="calibri" w:cs="calibri"/>
          <w:sz w:val="24"/>
          <w:szCs w:val="24"/>
        </w:rPr>
        <w:t xml:space="preserve">Koncepcja ESG opiera się na trzech filarach: ochronie środowiska (E), odpowiedzialności społecznej (S) oraz ładzie korporacyjnym (G - Governance). To właśnie ten trzeci obszar determinuje, czy firma jest zarządzana w sposób etyczny, przejrzysty i wolny od korupcji.</w:t>
      </w:r>
    </w:p>
    <w:p>
      <w:pPr>
        <w:spacing w:before="0" w:after="300"/>
      </w:pPr>
      <w:r>
        <w:rPr>
          <w:rFonts w:ascii="calibri" w:hAnsi="calibri" w:eastAsia="calibri" w:cs="calibri"/>
          <w:sz w:val="24"/>
          <w:szCs w:val="24"/>
        </w:rPr>
        <w:t xml:space="preserve">Skuteczny ład korporacyjny wymaga mechanizmów wykrywania nadużyć, zanim przerodzą się one w kryzysy wizerunkowe lub prawne. Whistleblowing idealnie wpisuje się w ten schemat. Pracownicy, dostawcy i partnerzy biznesowi – jako osoby będące najbliżej procesów operacyjnych – są pierwszym i najważniejszym ogniwem kontroli wewnętrznej. Brak bezpiecznego kanału zgłoszeniowego to w optyce audytorów ESG poważna luka w systemie Governance, która bezpośrednio obniża ocenę ratingową przedsiębiorstwa.</w:t>
      </w:r>
    </w:p>
    <w:p>
      <w:pPr>
        <w:spacing w:before="0" w:after="300"/>
      </w:pPr>
      <w:r>
        <w:rPr>
          <w:rFonts w:ascii="calibri" w:hAnsi="calibri" w:eastAsia="calibri" w:cs="calibri"/>
          <w:sz w:val="24"/>
          <w:szCs w:val="24"/>
          <w:b/>
        </w:rPr>
        <w:t xml:space="preserve">Kanał zgłoszeń jako system wczesnego ostrzegania (Early Warning System)</w:t>
      </w:r>
    </w:p>
    <w:p>
      <w:pPr>
        <w:spacing w:before="0" w:after="300"/>
      </w:pPr>
      <w:r>
        <w:rPr>
          <w:rFonts w:ascii="calibri" w:hAnsi="calibri" w:eastAsia="calibri" w:cs="calibri"/>
          <w:sz w:val="24"/>
          <w:szCs w:val="24"/>
        </w:rPr>
        <w:t xml:space="preserve">Modele zarządzania ryzykiem w 2026 roku opierają się na proaktywności. Systemy dla sygnalistów działają w organizacjach jak systemy wczesnego ostrzegania (Early Warning Systems), dostarczając kadrze zarządzającej krytycznych danych o potencjalnych nieprawidłowościach w takich obszarach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Łamanie praw pracowniczych i BHP (obszar "S" w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Greenwashing i naruszenia norm środowiskowych (obszar "E").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Konflikty interesów, korupcja, pranie brudnych pieniędzy (obszar "G").</w:t>
      </w:r>
    </w:p>
    <w:p>
      <w:pPr>
        <w:spacing w:before="0" w:after="300"/>
      </w:pPr>
      <w:r>
        <w:rPr>
          <w:rFonts w:ascii="calibri" w:hAnsi="calibri" w:eastAsia="calibri" w:cs="calibri"/>
          <w:sz w:val="24"/>
          <w:szCs w:val="24"/>
        </w:rPr>
        <w:t xml:space="preserve">Zgłoszenia od sygnalistów pozwalają na uruchomienie wewnętrznego postępowania wyjaśniającego na etapie, w którym problem można rozwiązać polubownie, unikając interwencji organów państwowych, kosztownych procesów sądowych oraz strat wizerunkowych.</w:t>
      </w:r>
    </w:p>
    <w:p>
      <w:pPr>
        <w:spacing w:before="0" w:after="300"/>
      </w:pPr>
      <w:r>
        <w:rPr>
          <w:rFonts w:ascii="calibri" w:hAnsi="calibri" w:eastAsia="calibri" w:cs="calibri"/>
          <w:sz w:val="24"/>
          <w:szCs w:val="24"/>
          <w:b/>
        </w:rPr>
        <w:t xml:space="preserve">Wymogi dyrektywy CSRD a agregacja danych ze zgłoszeń</w:t>
      </w:r>
    </w:p>
    <w:p>
      <w:pPr>
        <w:spacing w:before="0" w:after="300"/>
      </w:pPr>
      <w:r>
        <w:rPr>
          <w:rFonts w:ascii="calibri" w:hAnsi="calibri" w:eastAsia="calibri" w:cs="calibri"/>
          <w:sz w:val="24"/>
          <w:szCs w:val="24"/>
        </w:rPr>
        <w:t xml:space="preserve">Dyrektywa CSRD nałożyła na tysiące europejskich i polskich firm obowiązek szczegółowego raportowania działań na rzecz zrównoważonego rozwoju, zgodnie ze standardami ESRS (European Sustainability Reporting Standards). Wymagają one od firm opisywania m.in. mechanizmów zapobiegania korupcji oraz sposobów zarządzania skargami.</w:t>
      </w:r>
    </w:p>
    <w:p>
      <w:pPr>
        <w:spacing w:before="0" w:after="300"/>
      </w:pPr>
      <w:r>
        <w:rPr>
          <w:rFonts w:ascii="calibri" w:hAnsi="calibri" w:eastAsia="calibri" w:cs="calibri"/>
          <w:sz w:val="24"/>
          <w:szCs w:val="24"/>
        </w:rPr>
        <w:t xml:space="preserve">Aby proces raportowania był wiarygodny, organizacja musi opierać się na twardych danych. Ręczne prowadzenie rejestrów (np. w arkuszach kalkulacyjnych) nie tylko generuje ryzyko wycieku tożsamości, ale też utrudnia analitykę. Tu kluczowa staje się technologia. Decydując się na wdrożenie platform ułatwiających zintegrowane zarządzanie compliance, takich jak </w:t>
      </w:r>
      <w:hyperlink r:id="rId7" w:history="1">
        <w:r>
          <w:rPr>
            <w:rFonts w:ascii="calibri" w:hAnsi="calibri" w:eastAsia="calibri" w:cs="calibri"/>
            <w:color w:val="0000FF"/>
            <w:sz w:val="24"/>
            <w:szCs w:val="24"/>
            <w:u w:val="single"/>
          </w:rPr>
          <w:t xml:space="preserve">SygnaApp</w:t>
        </w:r>
      </w:hyperlink>
      <w:r>
        <w:rPr>
          <w:rFonts w:ascii="calibri" w:hAnsi="calibri" w:eastAsia="calibri" w:cs="calibri"/>
          <w:sz w:val="24"/>
          <w:szCs w:val="24"/>
        </w:rPr>
        <w:t xml:space="preserve">, organizacja zyskuje nie tylko szyfrowane środowisko do dialogu z demaskatorem, ale również możliwość generowania zanonimizowanych raportów ilościowych i jakościowych, które można bezpośrednio załączyć do rocznego sprawozdania z działalności niefinansowej.</w:t>
      </w:r>
    </w:p>
    <w:p>
      <w:pPr>
        <w:spacing w:before="0" w:after="300"/>
      </w:pPr>
      <w:r>
        <w:rPr>
          <w:rFonts w:ascii="calibri" w:hAnsi="calibri" w:eastAsia="calibri" w:cs="calibri"/>
          <w:sz w:val="24"/>
          <w:szCs w:val="24"/>
          <w:b/>
        </w:rPr>
        <w:t xml:space="preserve">Kultura „Speak-Up” jako dowód dojrzałości organizacyjnej</w:t>
      </w:r>
    </w:p>
    <w:p>
      <w:pPr>
        <w:spacing w:before="0" w:after="300"/>
      </w:pPr>
      <w:r>
        <w:rPr>
          <w:rFonts w:ascii="calibri" w:hAnsi="calibri" w:eastAsia="calibri" w:cs="calibri"/>
          <w:sz w:val="24"/>
          <w:szCs w:val="24"/>
        </w:rPr>
        <w:t xml:space="preserve">Posiadanie procedury "na papierze" nie spełnia już oczekiwań audytorów. Inwestorzy i analitycy badają tzw. kulturę „Speak-Up” (kulturę otwartego mówienia o problemach). Miernikiem sukcesu nie jest brak zgłoszeń w systemie – zerowa liczba raportów często świadczy o braku zaufania pracowników do narzędzia (efekt mrożący) lub o strachu przed działaniami odwetowymi. Paradoksalnie, regularny, umiarkowany spływ zasadnych zgłoszeń dowodzi, że pracownicy czują się bezpiecznie, a firma skutecznie wdraża politykę ochrony sygnalistów.</w:t>
      </w:r>
    </w:p>
    <w:p>
      <w:pPr>
        <w:spacing w:before="0" w:after="300"/>
      </w:pPr>
      <w:r>
        <w:rPr>
          <w:rFonts w:ascii="calibri" w:hAnsi="calibri" w:eastAsia="calibri" w:cs="calibri"/>
          <w:sz w:val="24"/>
          <w:szCs w:val="24"/>
          <w:b/>
        </w:rPr>
        <w:t xml:space="preserve">Podsumowanie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Systemy dla sygnalistów to nie koszt dostosowania do przepisów, lecz inwestycja w bezpieczny rozwój.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Zgłoszenia od pracowników dostarczają danych krytycznych do wypełnienia obowiązków narzucanych przez dyrektywę CSRD.</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dedykowanych rozwiązań IT chroni tożsamość sygnalisty i ułatwia tworzenie wskaźników niefinansowych.</w:t>
      </w:r>
    </w:p>
    <w:p/>
    <w:p>
      <w:pPr>
        <w:spacing w:before="0" w:after="300"/>
      </w:pPr>
      <w:r>
        <w:rPr>
          <w:rFonts w:ascii="calibri" w:hAnsi="calibri" w:eastAsia="calibri" w:cs="calibri"/>
          <w:sz w:val="24"/>
          <w:szCs w:val="24"/>
          <w:b/>
        </w:rPr>
        <w:t xml:space="preserve">FAQ – Najczęściej zadawane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brak systemu zgłoszeń dla sygnalistów wpływa na ocenę ESG firmy?</w:t>
      </w:r>
    </w:p>
    <w:p>
      <w:pPr>
        <w:spacing w:before="0" w:after="300"/>
      </w:pPr>
      <w:r>
        <w:rPr>
          <w:rFonts w:ascii="calibri" w:hAnsi="calibri" w:eastAsia="calibri" w:cs="calibri"/>
          <w:sz w:val="24"/>
          <w:szCs w:val="24"/>
        </w:rPr>
        <w:t xml:space="preserve">Tak. Brak bezpiecznego i anonimowego kanału zgłoszeniowego jest traktowany przez audytorów jako istotny brak w obszarze Governance (ład korporacyjny). Może to prowadzić do obniżenia ratingu ESG, co utrudnia pozyskanie finansowania (np. zielonych kredytów) oraz obniża zaufanie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dyrektywa CSRD odnosi się do whistleblowingu?</w:t>
      </w:r>
    </w:p>
    <w:p>
      <w:pPr>
        <w:spacing w:before="0" w:after="300"/>
      </w:pPr>
      <w:r>
        <w:rPr>
          <w:rFonts w:ascii="calibri" w:hAnsi="calibri" w:eastAsia="calibri" w:cs="calibri"/>
          <w:sz w:val="24"/>
          <w:szCs w:val="24"/>
        </w:rPr>
        <w:t xml:space="preserve">Europejskie Standardy Raportowania Zrównoważonego Rozwoju (ESRS) w ramach dyrektywy CSRD wprost wymagają od firm ujawniania informacji na temat wdrożonych mechanizmów zgłaszania obaw (grievance mechanisms) oraz sposobów ochrony osób zgłaszających nieprawidłowości przed działaniami odwetowymi.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dane z kanałów dla sygnalistów należy uwzględnić w raporcie niefinansowym?</w:t>
      </w:r>
    </w:p>
    <w:p>
      <w:pPr>
        <w:spacing w:before="0" w:after="300"/>
      </w:pPr>
      <w:r>
        <w:rPr>
          <w:rFonts w:ascii="calibri" w:hAnsi="calibri" w:eastAsia="calibri" w:cs="calibri"/>
          <w:sz w:val="24"/>
          <w:szCs w:val="24"/>
        </w:rPr>
        <w:t xml:space="preserve">Raport niefinansowy powinien zawierać zagregowane i zanonimizowane dane, takie jak: liczba otrzymanych zgłoszeń, kategorie naruszeń (np. korupcja, mobbing, środowisko), odsetek spraw rozwiązanych oraz opis ogólnych działań naprawczych podjętych przez organizację, przy bezwzględnym zachowaniu anonimowości sygnalistów.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gnaap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2026-07-07T14:45:26+02:00</dcterms:created>
  <dcterms:modified xsi:type="dcterms:W3CDTF">2026-07-07T14:45:26+02:00</dcterms:modified>
</cp:coreProperties>
</file>

<file path=docProps/custom.xml><?xml version="1.0" encoding="utf-8"?>
<Properties xmlns="http://schemas.openxmlformats.org/officeDocument/2006/custom-properties" xmlns:vt="http://schemas.openxmlformats.org/officeDocument/2006/docPropsVTypes"/>
</file>